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E1" w:rsidRDefault="00AC06E1" w:rsidP="00DB501A">
      <w:pPr>
        <w:ind w:left="-142"/>
        <w:rPr>
          <w:b/>
          <w:sz w:val="28"/>
          <w:szCs w:val="28"/>
          <w:u w:val="single"/>
        </w:rPr>
      </w:pPr>
    </w:p>
    <w:p w:rsidR="00AC06E1" w:rsidRDefault="00AC06E1" w:rsidP="00DB501A">
      <w:pPr>
        <w:ind w:left="-142"/>
        <w:rPr>
          <w:b/>
          <w:sz w:val="28"/>
          <w:szCs w:val="28"/>
          <w:u w:val="single"/>
        </w:rPr>
      </w:pPr>
    </w:p>
    <w:p w:rsidR="00DB501A" w:rsidRDefault="00DB501A" w:rsidP="00DB501A">
      <w:pPr>
        <w:ind w:left="-142"/>
        <w:rPr>
          <w:b/>
          <w:sz w:val="28"/>
          <w:szCs w:val="28"/>
          <w:u w:val="single"/>
        </w:rPr>
      </w:pPr>
      <w:r>
        <w:rPr>
          <w:b/>
          <w:sz w:val="28"/>
          <w:szCs w:val="28"/>
          <w:u w:val="single"/>
        </w:rPr>
        <w:t xml:space="preserve">Ergänzende Richtlinien zur Vergabe des MINT-EC-Zertifikats </w:t>
      </w:r>
      <w:r w:rsidR="008141E0">
        <w:rPr>
          <w:b/>
          <w:sz w:val="28"/>
          <w:szCs w:val="28"/>
          <w:u w:val="single"/>
        </w:rPr>
        <w:t>(8/2020)</w:t>
      </w:r>
      <w:bookmarkStart w:id="0" w:name="_GoBack"/>
      <w:bookmarkEnd w:id="0"/>
    </w:p>
    <w:p w:rsidR="00F45D6E" w:rsidRPr="00DB501A" w:rsidRDefault="00DB501A" w:rsidP="00DB501A">
      <w:pPr>
        <w:ind w:left="-142"/>
        <w:rPr>
          <w:b/>
          <w:sz w:val="28"/>
          <w:szCs w:val="28"/>
          <w:u w:val="single"/>
        </w:rPr>
      </w:pPr>
      <w:r>
        <w:t>Dieses Dokument enthält Ergänzungen und Erläuterungen der Vergaberichtlinien des MINT-EC-Zertifikats, die in der Broschüre „Das MINT-EC-Zertifikat“ veröffentlicht sind.</w:t>
      </w:r>
    </w:p>
    <w:p w:rsidR="00F45D6E" w:rsidRDefault="00DB501A">
      <w:pPr>
        <w:spacing w:before="360"/>
        <w:rPr>
          <w:b/>
          <w:sz w:val="24"/>
          <w:szCs w:val="24"/>
          <w:u w:val="single"/>
        </w:rPr>
      </w:pPr>
      <w:r>
        <w:rPr>
          <w:b/>
          <w:sz w:val="24"/>
          <w:szCs w:val="24"/>
          <w:u w:val="single"/>
        </w:rPr>
        <w:t>Anforderungsfeld I – fachliche Kompetenz in den MINT-Fächern der Sek. II</w:t>
      </w:r>
    </w:p>
    <w:p w:rsidR="00F45D6E" w:rsidRDefault="00DB501A">
      <w:pPr>
        <w:pStyle w:val="Listenabsatz"/>
        <w:numPr>
          <w:ilvl w:val="0"/>
          <w:numId w:val="1"/>
        </w:numPr>
      </w:pPr>
      <w:r>
        <w:t>Wie können die Anforderungen erfüllt werden, wenn gemäß Oberstufen- und Prüfungsverordnung der Länder nur ein MINT-Abiturfach auf erhöhtem Niveau belegt werden kann:</w:t>
      </w:r>
    </w:p>
    <w:p w:rsidR="00F45D6E" w:rsidRDefault="00DB501A">
      <w:pPr>
        <w:pStyle w:val="Listenabsatz"/>
        <w:numPr>
          <w:ilvl w:val="1"/>
          <w:numId w:val="1"/>
        </w:numPr>
      </w:pPr>
      <w:r>
        <w:t>ein MINT-Abiturfach auf erhöhtem Niveau + zwei weitere Fächer im MINT-Bereich durchgehend in der Qualifikationsphase</w:t>
      </w:r>
    </w:p>
    <w:p w:rsidR="00F45D6E" w:rsidRDefault="00DB501A">
      <w:pPr>
        <w:ind w:left="1440"/>
      </w:pPr>
      <w:r>
        <w:t>oder</w:t>
      </w:r>
    </w:p>
    <w:p w:rsidR="00F45D6E" w:rsidRDefault="00DB501A">
      <w:pPr>
        <w:pStyle w:val="Listenabsatz"/>
        <w:numPr>
          <w:ilvl w:val="1"/>
          <w:numId w:val="1"/>
        </w:numPr>
        <w:spacing w:before="120"/>
        <w:ind w:left="1434" w:hanging="357"/>
      </w:pPr>
      <w:r>
        <w:t>ein MINT-Abiturfach mit erhöhtem Niveau + 1 MINT-Abiturfach auf grundlegendem Niveau, aber vierstündig</w:t>
      </w:r>
    </w:p>
    <w:p w:rsidR="00F45D6E" w:rsidRDefault="00DB501A">
      <w:pPr>
        <w:pStyle w:val="Listenabsatz"/>
        <w:spacing w:before="120"/>
        <w:ind w:left="1440"/>
      </w:pPr>
      <w:r>
        <w:t>oder</w:t>
      </w:r>
    </w:p>
    <w:p w:rsidR="00F45D6E" w:rsidRDefault="00DB501A">
      <w:pPr>
        <w:pStyle w:val="Listenabsatz"/>
        <w:numPr>
          <w:ilvl w:val="1"/>
          <w:numId w:val="1"/>
        </w:numPr>
      </w:pPr>
      <w:r>
        <w:rPr>
          <w:u w:val="single"/>
        </w:rPr>
        <w:t>bis einschließlich Abiturjahrgang 2021:</w:t>
      </w:r>
      <w:r>
        <w:t xml:space="preserve"> ein MINT-Abiturfach auf erhöhtem Niveau + ein weiteres MINT-Fach als Abiturfach + ein Zusatzangebot im selben Fach (Seminare, z. B. W- oder P-Seminare, können nicht berücksichtigt werden)</w:t>
      </w:r>
    </w:p>
    <w:p w:rsidR="00F45D6E" w:rsidRDefault="00F45D6E"/>
    <w:p w:rsidR="00F45D6E" w:rsidRDefault="00DB501A">
      <w:pPr>
        <w:rPr>
          <w:b/>
          <w:sz w:val="24"/>
          <w:szCs w:val="24"/>
          <w:u w:val="single"/>
        </w:rPr>
      </w:pPr>
      <w:r>
        <w:rPr>
          <w:b/>
          <w:sz w:val="24"/>
          <w:szCs w:val="24"/>
          <w:u w:val="single"/>
        </w:rPr>
        <w:t>Anforderungsfeld II – Fachwissenschaftliches Arbeiten im MINT-Bereich der Sek. II</w:t>
      </w:r>
    </w:p>
    <w:p w:rsidR="00F45D6E" w:rsidRDefault="00DB501A">
      <w:pPr>
        <w:pStyle w:val="Listenabsatz"/>
        <w:numPr>
          <w:ilvl w:val="0"/>
          <w:numId w:val="2"/>
        </w:numPr>
      </w:pPr>
      <w:r>
        <w:t>Individuelle Facharbeiten, die nicht in die Fachnote einfließen, können in AF II (mindestens 10 Seiten) oder AF III eingebracht werden.</w:t>
      </w:r>
    </w:p>
    <w:p w:rsidR="00F45D6E" w:rsidRDefault="00DB501A">
      <w:pPr>
        <w:pStyle w:val="Listenabsatz"/>
        <w:numPr>
          <w:ilvl w:val="0"/>
          <w:numId w:val="2"/>
        </w:numPr>
      </w:pPr>
      <w:r>
        <w:t>(z. B. BW) Können GFS („gleichwertige Feststellungen von Schülerleistungen“ – Referat im Umfang von 20 – 45 Minuten und Hausarbeit im Umfang von 3 – 8 Seiten) eingebracht werden, wenn der Schüler oder die Schülerin zwei bis drei GFS im MINT-Bereich anfertigt und die Durchschnittsnote betrachtet wird?</w:t>
      </w:r>
    </w:p>
    <w:p w:rsidR="00F45D6E" w:rsidRDefault="00DB501A">
      <w:pPr>
        <w:pStyle w:val="Listenabsatz"/>
        <w:numPr>
          <w:ilvl w:val="1"/>
          <w:numId w:val="2"/>
        </w:numPr>
      </w:pPr>
      <w:r>
        <w:t>Die GFS muss einen Umfang von mindestens 10 Seiten haben und sich an wissenschaftlichen Kriterien orientieren. Das bedeutet, die Schülerinnen und Schüler müssen sich für die Anrechnung etwas umfangreicher mit einem Thema auseinandersetzen als in den anderen GFS-Arbeiten.</w:t>
      </w:r>
    </w:p>
    <w:p w:rsidR="00F45D6E" w:rsidRDefault="00DB501A">
      <w:pPr>
        <w:pStyle w:val="Listenabsatz"/>
        <w:numPr>
          <w:ilvl w:val="0"/>
          <w:numId w:val="2"/>
        </w:numPr>
      </w:pPr>
      <w:r>
        <w:t>Wie erfolgt ein Umgang mit Präsentationsleistungen?</w:t>
      </w:r>
    </w:p>
    <w:p w:rsidR="00F45D6E" w:rsidRDefault="00DB501A">
      <w:pPr>
        <w:pStyle w:val="Listenabsatz"/>
        <w:numPr>
          <w:ilvl w:val="1"/>
          <w:numId w:val="2"/>
        </w:numPr>
      </w:pPr>
      <w:r>
        <w:t>Bezüglich der Präsentationsleistung wurde vor längerer Zeit eine Änderung der Regelungen beschlossen. Die Präsentationsleistung ist nicht mehr anrechenbar in AF II.</w:t>
      </w:r>
    </w:p>
    <w:p w:rsidR="00F45D6E" w:rsidRDefault="00DB501A">
      <w:pPr>
        <w:pStyle w:val="Listenabsatz"/>
        <w:numPr>
          <w:ilvl w:val="1"/>
          <w:numId w:val="2"/>
        </w:numPr>
      </w:pPr>
      <w:r>
        <w:lastRenderedPageBreak/>
        <w:t>Es besteht allerdings die Möglichkeit, die Präsentationsleistungen auszubauen auf eine 10-seitige Arbeit, die dann angerechnet werden kann.</w:t>
      </w:r>
    </w:p>
    <w:p w:rsidR="00F45D6E" w:rsidRDefault="00DB501A">
      <w:pPr>
        <w:pStyle w:val="Listenabsatz"/>
        <w:numPr>
          <w:ilvl w:val="1"/>
          <w:numId w:val="2"/>
        </w:numPr>
      </w:pPr>
      <w:r>
        <w:t>Als öffentlicher Vortrag sind Präsentationsleistungen in AF III anrechenbar.</w:t>
      </w:r>
    </w:p>
    <w:p w:rsidR="00F45D6E" w:rsidRDefault="00F45D6E"/>
    <w:p w:rsidR="00F45D6E" w:rsidRDefault="00DB501A">
      <w:pPr>
        <w:rPr>
          <w:b/>
          <w:sz w:val="24"/>
          <w:szCs w:val="24"/>
          <w:u w:val="single"/>
        </w:rPr>
      </w:pPr>
      <w:r>
        <w:rPr>
          <w:b/>
          <w:sz w:val="24"/>
          <w:szCs w:val="24"/>
          <w:u w:val="single"/>
        </w:rPr>
        <w:t>Anforderungsfeld III – Zusätzliche MINT-Aktivitäten in Sek. I und Sek. II</w:t>
      </w:r>
    </w:p>
    <w:p w:rsidR="00F45D6E" w:rsidRDefault="00DB501A">
      <w:pPr>
        <w:pStyle w:val="Listenabsatz"/>
        <w:numPr>
          <w:ilvl w:val="0"/>
          <w:numId w:val="3"/>
        </w:numPr>
      </w:pPr>
      <w:r>
        <w:t xml:space="preserve">Wie wird der Wettbewerb Mathematik ohne Grenzen angerechnet? </w:t>
      </w:r>
    </w:p>
    <w:p w:rsidR="00F45D6E" w:rsidRDefault="00DB501A">
      <w:pPr>
        <w:pStyle w:val="Listenabsatz"/>
        <w:numPr>
          <w:ilvl w:val="1"/>
          <w:numId w:val="3"/>
        </w:numPr>
      </w:pPr>
      <w:r>
        <w:t>eine Anrechnung ist nicht möglich, da es sich um einen Klassenwettbewerb handelt</w:t>
      </w:r>
    </w:p>
    <w:p w:rsidR="00F45D6E" w:rsidRDefault="00DB501A">
      <w:pPr>
        <w:pStyle w:val="Listenabsatz"/>
        <w:numPr>
          <w:ilvl w:val="0"/>
          <w:numId w:val="3"/>
        </w:numPr>
      </w:pPr>
      <w:r>
        <w:t>Die festgelegten Punktezahlen 5, 10, 15 dürfen nicht verändert werden. Ein schulinternes Gremium muss die Punkte für schuleigene Projekte festlegen. Die Wertigkeit muss aber beim Vergleich des Aufwandes und des inhaltlichen Anspruches mit anderen Veranstaltungen stimmig sein.</w:t>
      </w:r>
    </w:p>
    <w:p w:rsidR="00F45D6E" w:rsidRDefault="00DB501A">
      <w:pPr>
        <w:pStyle w:val="Listenabsatz"/>
        <w:numPr>
          <w:ilvl w:val="0"/>
          <w:numId w:val="3"/>
        </w:numPr>
      </w:pPr>
      <w:r>
        <w:t>(Spezialschulen) Wie kann das sog. Spez</w:t>
      </w:r>
      <w:r w:rsidR="00534B82">
        <w:t>i</w:t>
      </w:r>
      <w:r>
        <w:t>al</w:t>
      </w:r>
      <w:r w:rsidR="00534B82">
        <w:t>-A</w:t>
      </w:r>
      <w:r>
        <w:t>bi (Prüfung zweier MINT-Fächer neben der Abiturprüfung) als „besondere Leistungsüberprüfung in der Klassenstufe 12 zu Inhalten der Spezialklassenausbildung“ eingebracht werden?</w:t>
      </w:r>
    </w:p>
    <w:p w:rsidR="00F45D6E" w:rsidRDefault="00DB501A">
      <w:pPr>
        <w:pStyle w:val="Listenabsatz"/>
        <w:numPr>
          <w:ilvl w:val="1"/>
          <w:numId w:val="3"/>
        </w:numPr>
      </w:pPr>
      <w:r>
        <w:t>Da Prüfungsleistungen grundsätzlich nicht anrechenbar sind, kann nur eine Anrechnung analog einer MINT-Profilklasse erfolgen.</w:t>
      </w:r>
    </w:p>
    <w:p w:rsidR="00F45D6E" w:rsidRDefault="00DB501A">
      <w:pPr>
        <w:pStyle w:val="Listenabsatz"/>
        <w:numPr>
          <w:ilvl w:val="0"/>
          <w:numId w:val="3"/>
        </w:numPr>
      </w:pPr>
      <w:r>
        <w:t>(z. B. BW) Wie kann der Vertiefungskurs Mathematik angerechnet werden?</w:t>
      </w:r>
    </w:p>
    <w:p w:rsidR="00F45D6E" w:rsidRDefault="00DB501A">
      <w:pPr>
        <w:pStyle w:val="Listenabsatz"/>
        <w:numPr>
          <w:ilvl w:val="1"/>
          <w:numId w:val="3"/>
        </w:numPr>
      </w:pPr>
      <w:r>
        <w:t>Als Zusatzangebot in AF III</w:t>
      </w:r>
    </w:p>
    <w:p w:rsidR="00F45D6E" w:rsidRDefault="00DB501A">
      <w:pPr>
        <w:pStyle w:val="Listenabsatz"/>
        <w:numPr>
          <w:ilvl w:val="0"/>
          <w:numId w:val="3"/>
        </w:numPr>
      </w:pPr>
      <w:r>
        <w:t>Können technische Ausbildungen (z. B. THW, DRK, BRK, Segelscheine) angerechnet werden?</w:t>
      </w:r>
    </w:p>
    <w:p w:rsidR="00F45D6E" w:rsidRDefault="00DB501A">
      <w:pPr>
        <w:pStyle w:val="Listenabsatz"/>
        <w:numPr>
          <w:ilvl w:val="1"/>
          <w:numId w:val="3"/>
        </w:numPr>
      </w:pPr>
      <w:r>
        <w:t>Nein.</w:t>
      </w:r>
    </w:p>
    <w:p w:rsidR="00F45D6E" w:rsidRDefault="00DB501A">
      <w:pPr>
        <w:pStyle w:val="Listenabsatz"/>
        <w:numPr>
          <w:ilvl w:val="0"/>
          <w:numId w:val="3"/>
        </w:numPr>
      </w:pPr>
      <w:r>
        <w:t>Kann die Schiedsrichtertätigkeit bei der FIRST® LEGO® League angerechnet werden?</w:t>
      </w:r>
    </w:p>
    <w:p w:rsidR="00F45D6E" w:rsidRDefault="00DB501A" w:rsidP="00552E10">
      <w:pPr>
        <w:pStyle w:val="Listenabsatz"/>
        <w:numPr>
          <w:ilvl w:val="1"/>
          <w:numId w:val="3"/>
        </w:numPr>
      </w:pPr>
      <w:r>
        <w:t>Nein.</w:t>
      </w:r>
    </w:p>
    <w:p w:rsidR="00F45D6E" w:rsidRDefault="00F45D6E"/>
    <w:sectPr w:rsidR="00F45D6E" w:rsidSect="00AC06E1">
      <w:headerReference w:type="default" r:id="rId8"/>
      <w:footerReference w:type="default" r:id="rId9"/>
      <w:headerReference w:type="first" r:id="rId10"/>
      <w:pgSz w:w="11906" w:h="16838"/>
      <w:pgMar w:top="1417" w:right="1417" w:bottom="1134" w:left="1417"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AB" w:rsidRDefault="00DB501A">
      <w:pPr>
        <w:spacing w:after="0" w:line="240" w:lineRule="auto"/>
      </w:pPr>
      <w:r>
        <w:separator/>
      </w:r>
    </w:p>
  </w:endnote>
  <w:endnote w:type="continuationSeparator" w:id="0">
    <w:p w:rsidR="009603AB" w:rsidRDefault="00DB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11392"/>
      <w:docPartObj>
        <w:docPartGallery w:val="Page Numbers (Bottom of Page)"/>
        <w:docPartUnique/>
      </w:docPartObj>
    </w:sdtPr>
    <w:sdtEndPr/>
    <w:sdtContent>
      <w:p w:rsidR="00F45D6E" w:rsidRDefault="00DB501A">
        <w:pPr>
          <w:pStyle w:val="Fuzeile"/>
          <w:jc w:val="right"/>
        </w:pPr>
        <w:r>
          <w:fldChar w:fldCharType="begin"/>
        </w:r>
        <w:r>
          <w:instrText>PAGE</w:instrText>
        </w:r>
        <w:r>
          <w:fldChar w:fldCharType="separate"/>
        </w:r>
        <w:r>
          <w:t>3</w:t>
        </w:r>
        <w:r>
          <w:fldChar w:fldCharType="end"/>
        </w:r>
      </w:p>
    </w:sdtContent>
  </w:sdt>
  <w:p w:rsidR="00F45D6E" w:rsidRDefault="00F45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AB" w:rsidRDefault="00DB501A">
      <w:pPr>
        <w:spacing w:after="0" w:line="240" w:lineRule="auto"/>
      </w:pPr>
      <w:r>
        <w:separator/>
      </w:r>
    </w:p>
  </w:footnote>
  <w:footnote w:type="continuationSeparator" w:id="0">
    <w:p w:rsidR="009603AB" w:rsidRDefault="00DB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6E" w:rsidRDefault="00DB501A">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E1" w:rsidRDefault="00AC06E1">
    <w:pPr>
      <w:pStyle w:val="Kopfzeile"/>
    </w:pPr>
    <w:r>
      <w:tab/>
    </w:r>
    <w:r>
      <w:tab/>
    </w:r>
    <w:r>
      <w:rPr>
        <w:noProof/>
      </w:rPr>
      <w:drawing>
        <wp:inline distT="0" distB="0" distL="0" distR="0" wp14:anchorId="0BFB9243">
          <wp:extent cx="2341245" cy="15544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554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7BC"/>
    <w:multiLevelType w:val="multilevel"/>
    <w:tmpl w:val="C420B6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8154BC"/>
    <w:multiLevelType w:val="multilevel"/>
    <w:tmpl w:val="066EF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3F1C6C"/>
    <w:multiLevelType w:val="multilevel"/>
    <w:tmpl w:val="1F08DB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1D30099"/>
    <w:multiLevelType w:val="multilevel"/>
    <w:tmpl w:val="52469E1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D6E"/>
    <w:rsid w:val="00534B82"/>
    <w:rsid w:val="00552E10"/>
    <w:rsid w:val="00686672"/>
    <w:rsid w:val="008141E0"/>
    <w:rsid w:val="009603AB"/>
    <w:rsid w:val="00A152DE"/>
    <w:rsid w:val="00A26833"/>
    <w:rsid w:val="00AC06E1"/>
    <w:rsid w:val="00DB501A"/>
    <w:rsid w:val="00F45D6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C73D1"/>
  <w15:docId w15:val="{328D33D1-3285-47A9-B269-063F2AFE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36472"/>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64EBA"/>
  </w:style>
  <w:style w:type="character" w:customStyle="1" w:styleId="FuzeileZchn">
    <w:name w:val="Fußzeile Zchn"/>
    <w:basedOn w:val="Absatz-Standardschriftart"/>
    <w:link w:val="Fuzeile"/>
    <w:uiPriority w:val="99"/>
    <w:qFormat/>
    <w:rsid w:val="00F64EBA"/>
  </w:style>
  <w:style w:type="character" w:customStyle="1" w:styleId="SprechblasentextZchn">
    <w:name w:val="Sprechblasentext Zchn"/>
    <w:basedOn w:val="Absatz-Standardschriftart"/>
    <w:link w:val="Sprechblasentext"/>
    <w:uiPriority w:val="99"/>
    <w:semiHidden/>
    <w:qFormat/>
    <w:rsid w:val="00F64EBA"/>
    <w:rPr>
      <w:rFonts w:ascii="Tahoma" w:hAnsi="Tahoma" w:cs="Tahoma"/>
      <w:sz w:val="16"/>
      <w:szCs w:val="16"/>
    </w:rPr>
  </w:style>
  <w:style w:type="character" w:styleId="Kommentarzeichen">
    <w:name w:val="annotation reference"/>
    <w:basedOn w:val="Absatz-Standardschriftart"/>
    <w:uiPriority w:val="99"/>
    <w:semiHidden/>
    <w:unhideWhenUsed/>
    <w:qFormat/>
    <w:rsid w:val="00B3142B"/>
    <w:rPr>
      <w:sz w:val="16"/>
      <w:szCs w:val="16"/>
    </w:rPr>
  </w:style>
  <w:style w:type="character" w:customStyle="1" w:styleId="KommentartextZchn">
    <w:name w:val="Kommentartext Zchn"/>
    <w:basedOn w:val="Absatz-Standardschriftart"/>
    <w:link w:val="Kommentartext"/>
    <w:uiPriority w:val="99"/>
    <w:semiHidden/>
    <w:qFormat/>
    <w:rsid w:val="00B3142B"/>
    <w:rPr>
      <w:sz w:val="20"/>
      <w:szCs w:val="20"/>
    </w:rPr>
  </w:style>
  <w:style w:type="character" w:customStyle="1" w:styleId="KommentarthemaZchn">
    <w:name w:val="Kommentarthema Zchn"/>
    <w:basedOn w:val="KommentartextZchn"/>
    <w:link w:val="Kommentarthema"/>
    <w:uiPriority w:val="99"/>
    <w:semiHidden/>
    <w:qFormat/>
    <w:rsid w:val="00B3142B"/>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Calibri"/>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509D0"/>
    <w:pPr>
      <w:ind w:left="720"/>
      <w:contextualSpacing/>
    </w:pPr>
  </w:style>
  <w:style w:type="paragraph" w:styleId="Kopfzeile">
    <w:name w:val="header"/>
    <w:basedOn w:val="Standard"/>
    <w:link w:val="KopfzeileZchn"/>
    <w:uiPriority w:val="99"/>
    <w:unhideWhenUsed/>
    <w:rsid w:val="00F64EBA"/>
    <w:pPr>
      <w:tabs>
        <w:tab w:val="center" w:pos="4536"/>
        <w:tab w:val="right" w:pos="9072"/>
      </w:tabs>
      <w:spacing w:after="0" w:line="240" w:lineRule="auto"/>
    </w:pPr>
  </w:style>
  <w:style w:type="paragraph" w:styleId="Fuzeile">
    <w:name w:val="footer"/>
    <w:basedOn w:val="Standard"/>
    <w:link w:val="FuzeileZchn"/>
    <w:uiPriority w:val="99"/>
    <w:unhideWhenUsed/>
    <w:rsid w:val="00F64EBA"/>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64EBA"/>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B3142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B31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0F93-5B85-4458-A624-BBF4AE6E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NewOrg</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 Bayern</dc:creator>
  <dc:description/>
  <cp:lastModifiedBy>Niki Sarantidou</cp:lastModifiedBy>
  <cp:revision>4</cp:revision>
  <cp:lastPrinted>2020-06-11T07:29:00Z</cp:lastPrinted>
  <dcterms:created xsi:type="dcterms:W3CDTF">2020-06-11T07:33:00Z</dcterms:created>
  <dcterms:modified xsi:type="dcterms:W3CDTF">2020-08-04T08:10:00Z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NewOrg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